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10" w:rsidRPr="006C0434" w:rsidRDefault="00BD2C10" w:rsidP="00BD2C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434">
        <w:rPr>
          <w:rFonts w:ascii="Times New Roman" w:hAnsi="Times New Roman" w:cs="Times New Roman"/>
          <w:b/>
          <w:sz w:val="24"/>
          <w:szCs w:val="24"/>
          <w:lang w:val="en-US"/>
        </w:rPr>
        <w:t>S3</w:t>
      </w:r>
      <w:r w:rsidRPr="006C7F6F">
        <w:rPr>
          <w:lang w:val="en-US"/>
        </w:rPr>
        <w:t xml:space="preserve"> </w:t>
      </w:r>
      <w:r w:rsidRPr="006C0434">
        <w:rPr>
          <w:rFonts w:ascii="Times New Roman" w:hAnsi="Times New Roman" w:cs="Times New Roman"/>
          <w:b/>
          <w:sz w:val="24"/>
          <w:szCs w:val="24"/>
          <w:lang w:val="en-US"/>
        </w:rPr>
        <w:t>Table.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Associations (adjusted for child’s sex and age) between maternal biweekly and trimester-specific depressive symptom values during pregnancy and child </w:t>
      </w:r>
      <w:proofErr w:type="spellStart"/>
      <w:r w:rsidRPr="00F006BB">
        <w:rPr>
          <w:rFonts w:ascii="Times New Roman" w:hAnsi="Times New Roman" w:cs="Times New Roman"/>
          <w:b/>
          <w:sz w:val="24"/>
          <w:szCs w:val="24"/>
          <w:lang w:val="en-US"/>
        </w:rPr>
        <w:t>behavioural</w:t>
      </w:r>
      <w:proofErr w:type="spellEnd"/>
      <w:r w:rsidRPr="00F0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symptoms of attention-deficit/hyperactivity disorder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the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Conners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’ Hyperactivity Index (CHI)</w:t>
      </w:r>
      <w:r w:rsidRPr="00FC3C2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1072"/>
        <w:gridCol w:w="3031"/>
        <w:gridCol w:w="1134"/>
      </w:tblGrid>
      <w:tr w:rsidR="00BD2C10" w:rsidRPr="00662620" w:rsidTr="00802983">
        <w:trPr>
          <w:trHeight w:val="454"/>
        </w:trPr>
        <w:tc>
          <w:tcPr>
            <w:tcW w:w="3977" w:type="dxa"/>
            <w:vMerge w:val="restart"/>
            <w:vAlign w:val="center"/>
          </w:tcPr>
          <w:p w:rsidR="00BD2C10" w:rsidRDefault="00BD2C10" w:rsidP="00802983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fi-FI"/>
              </w:rPr>
            </w:pPr>
          </w:p>
          <w:p w:rsidR="00BD2C10" w:rsidRPr="00934D6E" w:rsidRDefault="00BD2C10" w:rsidP="008029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fi-FI"/>
              </w:rPr>
              <w:t xml:space="preserve">Maternal Center of Epidemiological Studies Depression Scale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fi-FI"/>
              </w:rPr>
              <w:t>biweekly and trimester-specific values</w:t>
            </w:r>
            <w:r w:rsidRPr="00A91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fi-FI"/>
              </w:rPr>
              <w:t xml:space="preserve"> during pregnancy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BD2C10" w:rsidRPr="00934D6E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BD2C10" w:rsidRPr="00C0070C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fi-FI"/>
              </w:rPr>
              <w:t xml:space="preserve">Child’s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fi-FI"/>
              </w:rPr>
              <w:t>Conners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fi-FI"/>
              </w:rPr>
              <w:t>’ Hyperactivity Index Sum score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2C10" w:rsidRPr="00C0070C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  <w:vMerge/>
            <w:tcBorders>
              <w:bottom w:val="single" w:sz="4" w:space="0" w:color="auto"/>
            </w:tcBorders>
            <w:vAlign w:val="center"/>
          </w:tcPr>
          <w:p w:rsidR="00BD2C10" w:rsidRPr="005664A8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10" w:rsidRPr="005664A8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 unit increase in per 1 SD unit increase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(95</w:t>
            </w:r>
            <w:r w:rsidRPr="006C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10" w:rsidRPr="005664A8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4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  <w:tcBorders>
              <w:top w:val="nil"/>
            </w:tcBorders>
          </w:tcPr>
          <w:p w:rsidR="00BD2C10" w:rsidRPr="00382C28" w:rsidRDefault="00BD2C10" w:rsidP="008029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5664A8">
              <w:rPr>
                <w:rFonts w:ascii="Times New Roman" w:hAnsi="Times New Roman" w:cs="Times New Roman"/>
                <w:b/>
                <w:sz w:val="24"/>
                <w:szCs w:val="24"/>
              </w:rPr>
              <w:t>Biweekly</w:t>
            </w:r>
            <w:proofErr w:type="spellEnd"/>
            <w:r w:rsidRPr="00566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64A8">
              <w:rPr>
                <w:rFonts w:ascii="Times New Roman" w:hAnsi="Times New Roman" w:cs="Times New Roman"/>
                <w:b/>
                <w:sz w:val="24"/>
                <w:szCs w:val="24"/>
              </w:rPr>
              <w:t>values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72" w:type="dxa"/>
            <w:tcBorders>
              <w:top w:val="nil"/>
            </w:tcBorders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nil"/>
            </w:tcBorders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  <w:tcBorders>
              <w:top w:val="nil"/>
            </w:tcBorders>
          </w:tcPr>
          <w:p w:rsidR="00BD2C10" w:rsidRPr="006C0434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12+0-13+6</w:t>
            </w:r>
          </w:p>
        </w:tc>
        <w:tc>
          <w:tcPr>
            <w:tcW w:w="1072" w:type="dxa"/>
            <w:tcBorders>
              <w:top w:val="nil"/>
            </w:tcBorders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1,707</w:t>
            </w:r>
          </w:p>
        </w:tc>
        <w:tc>
          <w:tcPr>
            <w:tcW w:w="3031" w:type="dxa"/>
            <w:tcBorders>
              <w:top w:val="nil"/>
            </w:tcBorders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 (0.17, 0.26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</w:tcPr>
          <w:p w:rsidR="00BD2C10" w:rsidRPr="006C0434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14+0-15+6</w:t>
            </w:r>
          </w:p>
        </w:tc>
        <w:tc>
          <w:tcPr>
            <w:tcW w:w="1072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1,669</w:t>
            </w:r>
          </w:p>
        </w:tc>
        <w:tc>
          <w:tcPr>
            <w:tcW w:w="3031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 (0.16, 0.25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</w:tcPr>
          <w:p w:rsidR="00BD2C10" w:rsidRPr="006C0434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16+0-17+6</w:t>
            </w:r>
          </w:p>
        </w:tc>
        <w:tc>
          <w:tcPr>
            <w:tcW w:w="1072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1,656</w:t>
            </w:r>
          </w:p>
        </w:tc>
        <w:tc>
          <w:tcPr>
            <w:tcW w:w="3031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 (0.18, 0.27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</w:tcPr>
          <w:p w:rsidR="00BD2C10" w:rsidRPr="006C0434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18+0-19+6</w:t>
            </w:r>
          </w:p>
        </w:tc>
        <w:tc>
          <w:tcPr>
            <w:tcW w:w="1072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1,658</w:t>
            </w:r>
          </w:p>
        </w:tc>
        <w:tc>
          <w:tcPr>
            <w:tcW w:w="3031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 (0.16, 0.25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</w:tcPr>
          <w:p w:rsidR="00BD2C10" w:rsidRPr="006C0434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20+0-21+6</w:t>
            </w:r>
          </w:p>
        </w:tc>
        <w:tc>
          <w:tcPr>
            <w:tcW w:w="1072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1,659</w:t>
            </w:r>
          </w:p>
        </w:tc>
        <w:tc>
          <w:tcPr>
            <w:tcW w:w="3031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 (0.17, 0.26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</w:tcPr>
          <w:p w:rsidR="00BD2C10" w:rsidRPr="006C0434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22+0-23+6</w:t>
            </w:r>
          </w:p>
        </w:tc>
        <w:tc>
          <w:tcPr>
            <w:tcW w:w="1072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1,630</w:t>
            </w:r>
          </w:p>
        </w:tc>
        <w:tc>
          <w:tcPr>
            <w:tcW w:w="3031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 (0.15, 0.24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</w:tcPr>
          <w:p w:rsidR="00BD2C10" w:rsidRPr="006C0434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24+0-25+6</w:t>
            </w:r>
          </w:p>
        </w:tc>
        <w:tc>
          <w:tcPr>
            <w:tcW w:w="1072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1,613</w:t>
            </w:r>
          </w:p>
        </w:tc>
        <w:tc>
          <w:tcPr>
            <w:tcW w:w="3031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0.16, 0.26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C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</w:tcPr>
          <w:p w:rsidR="00BD2C10" w:rsidRPr="006C0434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26+0-27+6</w:t>
            </w:r>
          </w:p>
        </w:tc>
        <w:tc>
          <w:tcPr>
            <w:tcW w:w="1072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1,627</w:t>
            </w:r>
          </w:p>
        </w:tc>
        <w:tc>
          <w:tcPr>
            <w:tcW w:w="3031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 (0.18, 0.27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</w:tcPr>
          <w:p w:rsidR="00BD2C10" w:rsidRPr="006C0434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28+0-29+6</w:t>
            </w:r>
          </w:p>
        </w:tc>
        <w:tc>
          <w:tcPr>
            <w:tcW w:w="1072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1,610</w:t>
            </w:r>
          </w:p>
        </w:tc>
        <w:tc>
          <w:tcPr>
            <w:tcW w:w="3031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 (0.19, 0.28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</w:tcPr>
          <w:p w:rsidR="00BD2C10" w:rsidRPr="006C0434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30+0-31+6</w:t>
            </w:r>
          </w:p>
        </w:tc>
        <w:tc>
          <w:tcPr>
            <w:tcW w:w="1072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1,614</w:t>
            </w:r>
          </w:p>
        </w:tc>
        <w:tc>
          <w:tcPr>
            <w:tcW w:w="3031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 (0.18, 0.27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</w:tcPr>
          <w:p w:rsidR="00BD2C10" w:rsidRPr="006C0434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32+0-33+6</w:t>
            </w:r>
          </w:p>
        </w:tc>
        <w:tc>
          <w:tcPr>
            <w:tcW w:w="1072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1,605</w:t>
            </w:r>
          </w:p>
        </w:tc>
        <w:tc>
          <w:tcPr>
            <w:tcW w:w="3031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 (0.21, 0.30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</w:tcPr>
          <w:p w:rsidR="00BD2C10" w:rsidRPr="006C0434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34+0-35+6</w:t>
            </w:r>
          </w:p>
        </w:tc>
        <w:tc>
          <w:tcPr>
            <w:tcW w:w="1072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1,578</w:t>
            </w:r>
          </w:p>
        </w:tc>
        <w:tc>
          <w:tcPr>
            <w:tcW w:w="3031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 (0.19, 0.28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</w:tcPr>
          <w:p w:rsidR="00BD2C10" w:rsidRPr="006C0434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36+0-37+6</w:t>
            </w:r>
          </w:p>
        </w:tc>
        <w:tc>
          <w:tcPr>
            <w:tcW w:w="1072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1,517</w:t>
            </w:r>
          </w:p>
        </w:tc>
        <w:tc>
          <w:tcPr>
            <w:tcW w:w="3031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 (0.16, 0.25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</w:tcPr>
          <w:p w:rsidR="00BD2C10" w:rsidRPr="006C0434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38+0-39+6</w:t>
            </w:r>
          </w:p>
        </w:tc>
        <w:tc>
          <w:tcPr>
            <w:tcW w:w="1072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1,280</w:t>
            </w:r>
          </w:p>
        </w:tc>
        <w:tc>
          <w:tcPr>
            <w:tcW w:w="3031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0.15, 0.25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C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</w:tcPr>
          <w:p w:rsidR="00BD2C10" w:rsidRPr="005664A8" w:rsidRDefault="00BD2C10" w:rsidP="008029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64A8">
              <w:rPr>
                <w:rFonts w:ascii="Times New Roman" w:hAnsi="Times New Roman" w:cs="Times New Roman"/>
                <w:b/>
                <w:sz w:val="24"/>
                <w:szCs w:val="24"/>
              </w:rPr>
              <w:t>Trimester-specific</w:t>
            </w:r>
            <w:proofErr w:type="spellEnd"/>
            <w:r w:rsidRPr="00566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64A8">
              <w:rPr>
                <w:rFonts w:ascii="Times New Roman" w:hAnsi="Times New Roman" w:cs="Times New Roman"/>
                <w:b/>
                <w:sz w:val="24"/>
                <w:szCs w:val="24"/>
              </w:rPr>
              <w:t>values</w:t>
            </w:r>
            <w:proofErr w:type="spellEnd"/>
          </w:p>
        </w:tc>
        <w:tc>
          <w:tcPr>
            <w:tcW w:w="1072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1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  <w:vAlign w:val="center"/>
          </w:tcPr>
          <w:p w:rsidR="00BD2C10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 xml:space="preserve">   </w:t>
            </w:r>
            <w:r w:rsidRPr="003D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1</w:t>
            </w:r>
            <w:r w:rsidRPr="003D48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 w:eastAsia="fi-FI"/>
              </w:rPr>
              <w:t>st</w:t>
            </w:r>
            <w:r w:rsidRPr="003D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 xml:space="preserve"> trimester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value</w:t>
            </w:r>
          </w:p>
        </w:tc>
        <w:tc>
          <w:tcPr>
            <w:tcW w:w="1072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1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  <w:vAlign w:val="center"/>
          </w:tcPr>
          <w:p w:rsidR="00BD2C10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Model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1</w:t>
            </w:r>
          </w:p>
        </w:tc>
        <w:tc>
          <w:tcPr>
            <w:tcW w:w="1072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1,707</w:t>
            </w:r>
          </w:p>
        </w:tc>
        <w:tc>
          <w:tcPr>
            <w:tcW w:w="3031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0.21 (0.17, 0.26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1134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.001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  <w:vAlign w:val="center"/>
          </w:tcPr>
          <w:p w:rsidR="00BD2C10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Model 2</w:t>
            </w:r>
          </w:p>
        </w:tc>
        <w:tc>
          <w:tcPr>
            <w:tcW w:w="1072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1,707</w:t>
            </w:r>
          </w:p>
        </w:tc>
        <w:tc>
          <w:tcPr>
            <w:tcW w:w="3031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0.20 (0.15, 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0.24)</w:t>
            </w:r>
          </w:p>
        </w:tc>
        <w:tc>
          <w:tcPr>
            <w:tcW w:w="1134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.001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  <w:vAlign w:val="center"/>
          </w:tcPr>
          <w:p w:rsidR="00BD2C10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Model 3</w:t>
            </w:r>
          </w:p>
        </w:tc>
        <w:tc>
          <w:tcPr>
            <w:tcW w:w="1072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1,707</w:t>
            </w:r>
          </w:p>
        </w:tc>
        <w:tc>
          <w:tcPr>
            <w:tcW w:w="3031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0.20 (0.15, 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0.24)</w:t>
            </w:r>
          </w:p>
        </w:tc>
        <w:tc>
          <w:tcPr>
            <w:tcW w:w="1134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.001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  <w:vAlign w:val="center"/>
          </w:tcPr>
          <w:p w:rsidR="00BD2C10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Model 4</w:t>
            </w:r>
          </w:p>
        </w:tc>
        <w:tc>
          <w:tcPr>
            <w:tcW w:w="1072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1,707</w:t>
            </w:r>
          </w:p>
        </w:tc>
        <w:tc>
          <w:tcPr>
            <w:tcW w:w="3031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0.19 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(0.14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, 0.23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1134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.001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  <w:vAlign w:val="center"/>
          </w:tcPr>
          <w:p w:rsidR="00BD2C10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Model 5</w:t>
            </w:r>
          </w:p>
        </w:tc>
        <w:tc>
          <w:tcPr>
            <w:tcW w:w="1072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1,691</w:t>
            </w:r>
          </w:p>
        </w:tc>
        <w:tc>
          <w:tcPr>
            <w:tcW w:w="3031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0.11 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(0.06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, 0.15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1134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.001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  <w:vAlign w:val="center"/>
          </w:tcPr>
          <w:p w:rsidR="00BD2C10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 xml:space="preserve">   </w:t>
            </w:r>
            <w:r w:rsidRPr="003D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2</w:t>
            </w:r>
            <w:r w:rsidRPr="003D48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 w:eastAsia="fi-FI"/>
              </w:rPr>
              <w:t>nd</w:t>
            </w:r>
            <w:r w:rsidRPr="003D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 xml:space="preserve"> trimester mean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value</w:t>
            </w:r>
          </w:p>
        </w:tc>
        <w:tc>
          <w:tcPr>
            <w:tcW w:w="1072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1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  <w:vAlign w:val="center"/>
          </w:tcPr>
          <w:p w:rsidR="00BD2C10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Model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1</w:t>
            </w:r>
          </w:p>
        </w:tc>
        <w:tc>
          <w:tcPr>
            <w:tcW w:w="1072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1,774</w:t>
            </w:r>
          </w:p>
        </w:tc>
        <w:tc>
          <w:tcPr>
            <w:tcW w:w="3031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0.25 (0.21, 0.30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1134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.001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  <w:vAlign w:val="center"/>
          </w:tcPr>
          <w:p w:rsidR="00BD2C10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Model 2</w:t>
            </w:r>
          </w:p>
        </w:tc>
        <w:tc>
          <w:tcPr>
            <w:tcW w:w="1072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1,774</w:t>
            </w:r>
          </w:p>
        </w:tc>
        <w:tc>
          <w:tcPr>
            <w:tcW w:w="3031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0.24 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(0.20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, 0.29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1134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.001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  <w:vAlign w:val="center"/>
          </w:tcPr>
          <w:p w:rsidR="00BD2C10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Model 3</w:t>
            </w:r>
          </w:p>
        </w:tc>
        <w:tc>
          <w:tcPr>
            <w:tcW w:w="1072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1,774</w:t>
            </w:r>
          </w:p>
        </w:tc>
        <w:tc>
          <w:tcPr>
            <w:tcW w:w="3031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0.24 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(0.20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, 0.29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1134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.001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  <w:vAlign w:val="center"/>
          </w:tcPr>
          <w:p w:rsidR="00BD2C10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Model 4</w:t>
            </w:r>
          </w:p>
        </w:tc>
        <w:tc>
          <w:tcPr>
            <w:tcW w:w="1072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1,774</w:t>
            </w:r>
          </w:p>
        </w:tc>
        <w:tc>
          <w:tcPr>
            <w:tcW w:w="3031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0.23 (0.19, 0.28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1134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.001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  <w:vAlign w:val="center"/>
          </w:tcPr>
          <w:p w:rsidR="00BD2C10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Model 5</w:t>
            </w:r>
          </w:p>
        </w:tc>
        <w:tc>
          <w:tcPr>
            <w:tcW w:w="1072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1,756</w:t>
            </w:r>
          </w:p>
        </w:tc>
        <w:tc>
          <w:tcPr>
            <w:tcW w:w="3031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0.14 (0.10, 0.19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1134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.001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  <w:vAlign w:val="center"/>
          </w:tcPr>
          <w:p w:rsidR="00BD2C10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 xml:space="preserve">   </w:t>
            </w:r>
            <w:r w:rsidRPr="003D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3</w:t>
            </w:r>
            <w:r w:rsidRPr="003D48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 w:eastAsia="fi-FI"/>
              </w:rPr>
              <w:t>rd</w:t>
            </w:r>
            <w:r w:rsidRPr="003D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 xml:space="preserve"> trimester mean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value</w:t>
            </w:r>
          </w:p>
        </w:tc>
        <w:tc>
          <w:tcPr>
            <w:tcW w:w="1072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1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  <w:vAlign w:val="center"/>
          </w:tcPr>
          <w:p w:rsidR="00BD2C10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Model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1</w:t>
            </w:r>
          </w:p>
        </w:tc>
        <w:tc>
          <w:tcPr>
            <w:tcW w:w="1072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1,732</w:t>
            </w:r>
          </w:p>
        </w:tc>
        <w:tc>
          <w:tcPr>
            <w:tcW w:w="3031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0.25 (0.21, 0.30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1134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.001</w:t>
            </w:r>
          </w:p>
        </w:tc>
      </w:tr>
      <w:tr w:rsidR="00BD2C10" w:rsidRPr="006C0434" w:rsidTr="00802983">
        <w:trPr>
          <w:trHeight w:val="245"/>
        </w:trPr>
        <w:tc>
          <w:tcPr>
            <w:tcW w:w="3977" w:type="dxa"/>
            <w:vAlign w:val="center"/>
          </w:tcPr>
          <w:p w:rsidR="00BD2C10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Model 2</w:t>
            </w:r>
          </w:p>
        </w:tc>
        <w:tc>
          <w:tcPr>
            <w:tcW w:w="1072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1,732</w:t>
            </w:r>
          </w:p>
        </w:tc>
        <w:tc>
          <w:tcPr>
            <w:tcW w:w="3031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0.25 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(0.20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, 0.29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1134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.001</w:t>
            </w:r>
          </w:p>
        </w:tc>
      </w:tr>
      <w:tr w:rsidR="00BD2C10" w:rsidRPr="00133AE4" w:rsidTr="00802983">
        <w:trPr>
          <w:trHeight w:val="245"/>
        </w:trPr>
        <w:tc>
          <w:tcPr>
            <w:tcW w:w="3977" w:type="dxa"/>
            <w:vAlign w:val="center"/>
          </w:tcPr>
          <w:p w:rsidR="00BD2C10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Model 3</w:t>
            </w:r>
          </w:p>
        </w:tc>
        <w:tc>
          <w:tcPr>
            <w:tcW w:w="1072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1,732</w:t>
            </w:r>
          </w:p>
        </w:tc>
        <w:tc>
          <w:tcPr>
            <w:tcW w:w="3031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0.25 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(0.20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, 0.29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1134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.001</w:t>
            </w:r>
          </w:p>
        </w:tc>
      </w:tr>
      <w:tr w:rsidR="00BD2C10" w:rsidRPr="00133AE4" w:rsidTr="00802983">
        <w:trPr>
          <w:trHeight w:val="245"/>
        </w:trPr>
        <w:tc>
          <w:tcPr>
            <w:tcW w:w="3977" w:type="dxa"/>
            <w:vAlign w:val="center"/>
          </w:tcPr>
          <w:p w:rsidR="00BD2C10" w:rsidRPr="00133AE4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Model 4</w:t>
            </w:r>
          </w:p>
        </w:tc>
        <w:tc>
          <w:tcPr>
            <w:tcW w:w="1072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1,732</w:t>
            </w:r>
          </w:p>
        </w:tc>
        <w:tc>
          <w:tcPr>
            <w:tcW w:w="3031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0.23 (0.19, 0.28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1134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.001</w:t>
            </w:r>
          </w:p>
        </w:tc>
      </w:tr>
      <w:tr w:rsidR="00BD2C10" w:rsidRPr="00133AE4" w:rsidTr="00802983">
        <w:trPr>
          <w:trHeight w:val="245"/>
        </w:trPr>
        <w:tc>
          <w:tcPr>
            <w:tcW w:w="3977" w:type="dxa"/>
            <w:vAlign w:val="center"/>
          </w:tcPr>
          <w:p w:rsidR="00BD2C10" w:rsidRPr="00133AE4" w:rsidRDefault="00BD2C10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Model 5</w:t>
            </w:r>
          </w:p>
        </w:tc>
        <w:tc>
          <w:tcPr>
            <w:tcW w:w="1072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1,716</w:t>
            </w:r>
          </w:p>
        </w:tc>
        <w:tc>
          <w:tcPr>
            <w:tcW w:w="3031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0.15 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(0.10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, 0.20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1134" w:type="dxa"/>
            <w:vAlign w:val="center"/>
          </w:tcPr>
          <w:p w:rsidR="00BD2C10" w:rsidRPr="006C0434" w:rsidRDefault="00BD2C10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</w:t>
            </w:r>
            <w:r w:rsidRPr="003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.001</w:t>
            </w:r>
          </w:p>
        </w:tc>
      </w:tr>
    </w:tbl>
    <w:p w:rsidR="00BD2C10" w:rsidRDefault="00BD2C10" w:rsidP="00BD2C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382C28">
        <w:rPr>
          <w:rFonts w:ascii="Times New Roman" w:hAnsi="Times New Roman" w:cs="Times New Roman"/>
          <w:sz w:val="24"/>
          <w:szCs w:val="24"/>
          <w:lang w:val="en-US"/>
        </w:rPr>
        <w:t>Analyses were adjusted for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child sex and age at follow-up. After a</w:t>
      </w:r>
      <w:r w:rsidRPr="006C0434">
        <w:rPr>
          <w:rFonts w:ascii="Times New Roman" w:hAnsi="Times New Roman" w:cs="Times New Roman"/>
          <w:sz w:val="24"/>
          <w:szCs w:val="24"/>
          <w:lang w:val="en-US"/>
        </w:rPr>
        <w:t xml:space="preserve">dditional adjustments for maternal age at childbirth, parity, family structure, education level, type 1 diabetes, chronic hypertension, history of physician-diagnosed depression, antidepressant and other psychotropic medication use, alcohol use and smoking during pregnancy, and gestation length and infant’s </w:t>
      </w:r>
      <w:r>
        <w:rPr>
          <w:rFonts w:ascii="Times New Roman" w:hAnsi="Times New Roman" w:cs="Times New Roman"/>
          <w:sz w:val="24"/>
          <w:szCs w:val="24"/>
          <w:lang w:val="en-US"/>
        </w:rPr>
        <w:t>birthweight</w:t>
      </w:r>
      <w:r w:rsidRPr="006C0434">
        <w:rPr>
          <w:rFonts w:ascii="Times New Roman" w:hAnsi="Times New Roman" w:cs="Times New Roman"/>
          <w:sz w:val="24"/>
          <w:szCs w:val="24"/>
          <w:lang w:val="en-US"/>
        </w:rPr>
        <w:t xml:space="preserve"> adjusted for sex and gestation length, maternal pregnancy disorders, maternal ADHD problems, and maternal depressive symptoms at follow-up parallel to rating the child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Pr="00C3627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-values remained &lt;.001</w:t>
      </w:r>
      <w:r w:rsidRPr="006C04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2C10" w:rsidRPr="00382C28" w:rsidRDefault="00BD2C10" w:rsidP="00BD2C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2C28">
        <w:rPr>
          <w:rFonts w:ascii="Times New Roman" w:hAnsi="Times New Roman" w:cs="Times New Roman"/>
          <w:sz w:val="24"/>
          <w:szCs w:val="24"/>
          <w:lang w:val="en-US"/>
        </w:rPr>
        <w:t>Model 1: adjusted for child sex and age at follow-up</w:t>
      </w:r>
    </w:p>
    <w:p w:rsidR="00BD2C10" w:rsidRPr="00382C28" w:rsidRDefault="00BD2C10" w:rsidP="00BD2C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2C28">
        <w:rPr>
          <w:rFonts w:ascii="Times New Roman" w:hAnsi="Times New Roman" w:cs="Times New Roman"/>
          <w:sz w:val="24"/>
          <w:szCs w:val="24"/>
          <w:lang w:val="en-US"/>
        </w:rPr>
        <w:t xml:space="preserve">Model 2: adjusted for model 1 + maternal age at childbirth, parity, family structure, education level, type 1 diabetes, chronic hypertension, history of physician-diagnosed depression, antidepressant and other psychotropic medication use, alcohol use and smoking during pregnancy, and gestation length and infant’s </w:t>
      </w:r>
      <w:r>
        <w:rPr>
          <w:rFonts w:ascii="Times New Roman" w:hAnsi="Times New Roman" w:cs="Times New Roman"/>
          <w:sz w:val="24"/>
          <w:szCs w:val="24"/>
          <w:lang w:val="en-US"/>
        </w:rPr>
        <w:t>birthweight</w:t>
      </w:r>
      <w:r w:rsidRPr="00382C28">
        <w:rPr>
          <w:rFonts w:ascii="Times New Roman" w:hAnsi="Times New Roman" w:cs="Times New Roman"/>
          <w:sz w:val="24"/>
          <w:szCs w:val="24"/>
          <w:lang w:val="en-US"/>
        </w:rPr>
        <w:t xml:space="preserve"> adjusted for sex and gestation length</w:t>
      </w:r>
    </w:p>
    <w:p w:rsidR="00BD2C10" w:rsidRPr="00382C28" w:rsidRDefault="00BD2C10" w:rsidP="00BD2C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2C28">
        <w:rPr>
          <w:rFonts w:ascii="Times New Roman" w:hAnsi="Times New Roman" w:cs="Times New Roman"/>
          <w:sz w:val="24"/>
          <w:szCs w:val="24"/>
          <w:lang w:val="en-US"/>
        </w:rPr>
        <w:t>Model 3: adjusted for model 2 + maternal pre-pregnancy obesity, gestational diabetes, gestational hypertension and pre-eclampsia</w:t>
      </w:r>
    </w:p>
    <w:p w:rsidR="00BD2C10" w:rsidRPr="00382C28" w:rsidRDefault="00BD2C10" w:rsidP="00BD2C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2C28">
        <w:rPr>
          <w:rFonts w:ascii="Times New Roman" w:hAnsi="Times New Roman" w:cs="Times New Roman"/>
          <w:sz w:val="24"/>
          <w:szCs w:val="24"/>
          <w:lang w:val="en-US"/>
        </w:rPr>
        <w:t>Model 4: adjusted for model 3 + maternal ADHD problems</w:t>
      </w:r>
    </w:p>
    <w:p w:rsidR="00BD2C10" w:rsidRPr="006C0434" w:rsidRDefault="00BD2C10" w:rsidP="00BD2C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2C28">
        <w:rPr>
          <w:rFonts w:ascii="Times New Roman" w:hAnsi="Times New Roman" w:cs="Times New Roman"/>
          <w:sz w:val="24"/>
          <w:szCs w:val="24"/>
          <w:lang w:val="en-US"/>
        </w:rPr>
        <w:t>Model 5: adjusted for model 4 + maternal depressive symptoms after pregnancy</w:t>
      </w:r>
    </w:p>
    <w:p w:rsidR="00D10084" w:rsidRPr="00BD2C10" w:rsidRDefault="00BD2C10">
      <w:pPr>
        <w:rPr>
          <w:lang w:val="en-US"/>
        </w:rPr>
      </w:pPr>
      <w:bookmarkStart w:id="0" w:name="_GoBack"/>
      <w:bookmarkEnd w:id="0"/>
    </w:p>
    <w:sectPr w:rsidR="00D10084" w:rsidRPr="00BD2C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10"/>
    <w:rsid w:val="00527C8C"/>
    <w:rsid w:val="00BD2C10"/>
    <w:rsid w:val="00C9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AE7E-BF32-4911-BEB0-A8D08D29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C1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Wolford, Elina R A</dc:creator>
  <cp:keywords/>
  <dc:description/>
  <cp:lastModifiedBy>Wolford, Elina R A</cp:lastModifiedBy>
  <cp:revision>1</cp:revision>
  <dcterms:created xsi:type="dcterms:W3CDTF">2017-12-14T07:29:00Z</dcterms:created>
  <dcterms:modified xsi:type="dcterms:W3CDTF">2017-12-14T07:32:00Z</dcterms:modified>
</cp:coreProperties>
</file>